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E3" w:rsidRPr="005E58DF" w:rsidRDefault="002707CC" w:rsidP="00A624E0">
      <w:pPr>
        <w:jc w:val="center"/>
        <w:rPr>
          <w:b/>
          <w:sz w:val="24"/>
          <w:szCs w:val="24"/>
          <w:u w:val="single"/>
        </w:rPr>
      </w:pPr>
      <w:r w:rsidRPr="005E58DF">
        <w:rPr>
          <w:b/>
          <w:sz w:val="24"/>
          <w:szCs w:val="24"/>
          <w:u w:val="single"/>
        </w:rPr>
        <w:t>RESUMEN OBSERVATORIO</w:t>
      </w:r>
    </w:p>
    <w:p w:rsidR="005E58DF" w:rsidRPr="005E58DF" w:rsidRDefault="005E58DF" w:rsidP="00A624E0">
      <w:pPr>
        <w:jc w:val="center"/>
        <w:rPr>
          <w:sz w:val="24"/>
          <w:szCs w:val="24"/>
          <w:u w:val="single"/>
        </w:rPr>
      </w:pPr>
      <w:r w:rsidRPr="005E58DF">
        <w:rPr>
          <w:sz w:val="24"/>
          <w:szCs w:val="24"/>
          <w:u w:val="single"/>
        </w:rPr>
        <w:t>Antecedentes y Propósito</w:t>
      </w:r>
    </w:p>
    <w:p w:rsidR="002707CC" w:rsidRPr="002707CC" w:rsidRDefault="002707CC" w:rsidP="00A624E0">
      <w:pPr>
        <w:jc w:val="both"/>
        <w:rPr>
          <w:sz w:val="24"/>
          <w:szCs w:val="24"/>
        </w:rPr>
      </w:pPr>
      <w:r w:rsidRPr="002707CC">
        <w:rPr>
          <w:sz w:val="24"/>
          <w:szCs w:val="24"/>
        </w:rPr>
        <w:t>Los servicios financieros minoristas, entendidos como aquellos servicios asociados al crédito a personas, como cuenta corriente, línea de crédito y tarjetas de débito y de crédito, son provistos por entidades bancarias y por entidades no bancarias.</w:t>
      </w:r>
    </w:p>
    <w:p w:rsidR="002707CC" w:rsidRDefault="002707CC" w:rsidP="00A624E0">
      <w:pPr>
        <w:jc w:val="both"/>
        <w:rPr>
          <w:sz w:val="24"/>
          <w:szCs w:val="24"/>
        </w:rPr>
      </w:pPr>
      <w:r w:rsidRPr="002707CC">
        <w:rPr>
          <w:sz w:val="24"/>
          <w:szCs w:val="24"/>
        </w:rPr>
        <w:t xml:space="preserve">Aunque existen muchos oferentes que compiten en el segmento, según el estudio sobre comisiones elaborado por este equipo de investigadores para </w:t>
      </w:r>
      <w:proofErr w:type="spellStart"/>
      <w:r w:rsidRPr="002707CC">
        <w:rPr>
          <w:sz w:val="24"/>
          <w:szCs w:val="24"/>
        </w:rPr>
        <w:t>Conadecus</w:t>
      </w:r>
      <w:proofErr w:type="spellEnd"/>
      <w:r w:rsidRPr="002707CC">
        <w:rPr>
          <w:sz w:val="24"/>
          <w:szCs w:val="24"/>
        </w:rPr>
        <w:t xml:space="preserve"> y por encuestas de satisfacción de clientes, estos servicios no son siempre percibidos como seguros y transparentes por los consumidores.</w:t>
      </w:r>
    </w:p>
    <w:p w:rsidR="002707CC" w:rsidRDefault="000C2290" w:rsidP="00A624E0">
      <w:pPr>
        <w:jc w:val="both"/>
        <w:rPr>
          <w:sz w:val="24"/>
          <w:szCs w:val="24"/>
        </w:rPr>
      </w:pPr>
      <w:r>
        <w:rPr>
          <w:sz w:val="24"/>
          <w:szCs w:val="24"/>
        </w:rPr>
        <w:t>De hecho</w:t>
      </w:r>
      <w:r w:rsidR="002707CC" w:rsidRPr="00723361">
        <w:rPr>
          <w:sz w:val="24"/>
          <w:szCs w:val="24"/>
        </w:rPr>
        <w:t xml:space="preserve">, </w:t>
      </w:r>
      <w:r>
        <w:rPr>
          <w:sz w:val="24"/>
          <w:szCs w:val="24"/>
        </w:rPr>
        <w:t xml:space="preserve">según el SERNAC, </w:t>
      </w:r>
      <w:r w:rsidR="002707CC" w:rsidRPr="00723361">
        <w:rPr>
          <w:sz w:val="24"/>
          <w:szCs w:val="24"/>
        </w:rPr>
        <w:t xml:space="preserve">el sector bancario concentró </w:t>
      </w:r>
      <w:r>
        <w:rPr>
          <w:sz w:val="24"/>
          <w:szCs w:val="24"/>
        </w:rPr>
        <w:t>en</w:t>
      </w:r>
      <w:r w:rsidRPr="00723361">
        <w:rPr>
          <w:sz w:val="24"/>
          <w:szCs w:val="24"/>
        </w:rPr>
        <w:t xml:space="preserve"> el primer semestre de 2016</w:t>
      </w:r>
      <w:r>
        <w:rPr>
          <w:sz w:val="24"/>
          <w:szCs w:val="24"/>
        </w:rPr>
        <w:t xml:space="preserve"> </w:t>
      </w:r>
      <w:r w:rsidR="002707CC" w:rsidRPr="00723361">
        <w:rPr>
          <w:sz w:val="24"/>
          <w:szCs w:val="24"/>
        </w:rPr>
        <w:t xml:space="preserve">un </w:t>
      </w:r>
      <w:r w:rsidR="00723361" w:rsidRPr="00723361">
        <w:rPr>
          <w:sz w:val="24"/>
          <w:szCs w:val="24"/>
        </w:rPr>
        <w:t>40</w:t>
      </w:r>
      <w:r w:rsidR="002707CC" w:rsidRPr="00723361">
        <w:rPr>
          <w:sz w:val="24"/>
          <w:szCs w:val="24"/>
        </w:rPr>
        <w:t>% del total de 2</w:t>
      </w:r>
      <w:r w:rsidR="00723361" w:rsidRPr="00723361">
        <w:rPr>
          <w:sz w:val="24"/>
          <w:szCs w:val="24"/>
        </w:rPr>
        <w:t>3</w:t>
      </w:r>
      <w:r w:rsidR="002707CC" w:rsidRPr="00723361">
        <w:rPr>
          <w:sz w:val="24"/>
          <w:szCs w:val="24"/>
        </w:rPr>
        <w:t>.</w:t>
      </w:r>
      <w:r w:rsidR="00723361" w:rsidRPr="00723361">
        <w:rPr>
          <w:sz w:val="24"/>
          <w:szCs w:val="24"/>
        </w:rPr>
        <w:t>6</w:t>
      </w:r>
      <w:r w:rsidR="002707CC" w:rsidRPr="00723361">
        <w:rPr>
          <w:sz w:val="24"/>
          <w:szCs w:val="24"/>
        </w:rPr>
        <w:t xml:space="preserve">35 reclamos de los consumidores del mercado financiero, es decir, </w:t>
      </w:r>
      <w:r w:rsidR="00723361" w:rsidRPr="00723361">
        <w:rPr>
          <w:sz w:val="24"/>
          <w:szCs w:val="24"/>
        </w:rPr>
        <w:t>9</w:t>
      </w:r>
      <w:r w:rsidR="002707CC" w:rsidRPr="00723361">
        <w:rPr>
          <w:sz w:val="24"/>
          <w:szCs w:val="24"/>
        </w:rPr>
        <w:t>.</w:t>
      </w:r>
      <w:r w:rsidR="00723361" w:rsidRPr="00723361">
        <w:rPr>
          <w:sz w:val="24"/>
          <w:szCs w:val="24"/>
        </w:rPr>
        <w:t>38</w:t>
      </w:r>
      <w:r w:rsidR="002707CC" w:rsidRPr="00723361">
        <w:rPr>
          <w:sz w:val="24"/>
          <w:szCs w:val="24"/>
        </w:rPr>
        <w:t xml:space="preserve">0 reclamos.  Su distribución por producto fue de </w:t>
      </w:r>
      <w:r w:rsidR="00723361" w:rsidRPr="00723361">
        <w:rPr>
          <w:sz w:val="24"/>
          <w:szCs w:val="24"/>
        </w:rPr>
        <w:t>15,9</w:t>
      </w:r>
      <w:r w:rsidR="002707CC" w:rsidRPr="00723361">
        <w:rPr>
          <w:sz w:val="24"/>
          <w:szCs w:val="24"/>
        </w:rPr>
        <w:t>%</w:t>
      </w:r>
      <w:r w:rsidR="00723361" w:rsidRPr="00723361">
        <w:rPr>
          <w:sz w:val="24"/>
          <w:szCs w:val="24"/>
        </w:rPr>
        <w:t xml:space="preserve"> </w:t>
      </w:r>
      <w:r w:rsidR="002707CC" w:rsidRPr="00723361">
        <w:rPr>
          <w:sz w:val="24"/>
          <w:szCs w:val="24"/>
        </w:rPr>
        <w:t>por créditos de consumo, 1</w:t>
      </w:r>
      <w:r w:rsidR="00723361" w:rsidRPr="00723361">
        <w:rPr>
          <w:sz w:val="24"/>
          <w:szCs w:val="24"/>
        </w:rPr>
        <w:t>2,</w:t>
      </w:r>
      <w:r w:rsidR="002707CC" w:rsidRPr="00723361">
        <w:rPr>
          <w:sz w:val="24"/>
          <w:szCs w:val="24"/>
        </w:rPr>
        <w:t>6% por tarjetas de crédito, 1</w:t>
      </w:r>
      <w:r w:rsidR="00723361" w:rsidRPr="00723361">
        <w:rPr>
          <w:sz w:val="24"/>
          <w:szCs w:val="24"/>
        </w:rPr>
        <w:t>8,0% por cuentas corrientes, 10,0% por créditos hipotecarios y 16,5</w:t>
      </w:r>
      <w:r w:rsidR="002707CC" w:rsidRPr="00723361">
        <w:rPr>
          <w:sz w:val="24"/>
          <w:szCs w:val="24"/>
        </w:rPr>
        <w:t>% por cuentas vista.</w:t>
      </w:r>
    </w:p>
    <w:p w:rsidR="002707CC" w:rsidRDefault="002707CC" w:rsidP="00A624E0">
      <w:pPr>
        <w:jc w:val="both"/>
        <w:rPr>
          <w:sz w:val="24"/>
          <w:szCs w:val="24"/>
        </w:rPr>
      </w:pPr>
      <w:r>
        <w:rPr>
          <w:sz w:val="24"/>
          <w:szCs w:val="24"/>
        </w:rPr>
        <w:t xml:space="preserve">Los reclamos respecto de otros oferentes de servicios financieros, como las grandes empresas del retail y las cajas de compensación son </w:t>
      </w:r>
      <w:r w:rsidR="00723361">
        <w:rPr>
          <w:sz w:val="24"/>
          <w:szCs w:val="24"/>
        </w:rPr>
        <w:t xml:space="preserve">incluso </w:t>
      </w:r>
      <w:r>
        <w:rPr>
          <w:sz w:val="24"/>
          <w:szCs w:val="24"/>
        </w:rPr>
        <w:t>más numerosos</w:t>
      </w:r>
      <w:r w:rsidR="00723361">
        <w:rPr>
          <w:sz w:val="24"/>
          <w:szCs w:val="24"/>
        </w:rPr>
        <w:t>, alcanzando a</w:t>
      </w:r>
      <w:r w:rsidR="000C2290">
        <w:rPr>
          <w:sz w:val="24"/>
          <w:szCs w:val="24"/>
        </w:rPr>
        <w:t xml:space="preserve"> 51,2% o 12.101 reclamos</w:t>
      </w:r>
      <w:r>
        <w:rPr>
          <w:sz w:val="24"/>
          <w:szCs w:val="24"/>
        </w:rPr>
        <w:t>.</w:t>
      </w:r>
    </w:p>
    <w:p w:rsidR="002707CC" w:rsidRDefault="002707CC" w:rsidP="00A624E0">
      <w:pPr>
        <w:jc w:val="both"/>
        <w:rPr>
          <w:sz w:val="24"/>
          <w:szCs w:val="24"/>
        </w:rPr>
      </w:pPr>
      <w:r>
        <w:rPr>
          <w:sz w:val="24"/>
          <w:szCs w:val="24"/>
        </w:rPr>
        <w:t>En este contexto, l</w:t>
      </w:r>
      <w:r w:rsidRPr="002707CC">
        <w:rPr>
          <w:sz w:val="24"/>
          <w:szCs w:val="24"/>
        </w:rPr>
        <w:t xml:space="preserve">os consumidores financieros no disponen de herramientas que les permitan distinguir cuáles entidades son las que </w:t>
      </w:r>
      <w:r w:rsidR="00E935A4">
        <w:rPr>
          <w:sz w:val="24"/>
          <w:szCs w:val="24"/>
        </w:rPr>
        <w:t xml:space="preserve">les </w:t>
      </w:r>
      <w:r w:rsidRPr="002707CC">
        <w:rPr>
          <w:sz w:val="24"/>
          <w:szCs w:val="24"/>
        </w:rPr>
        <w:t xml:space="preserve">brindan un trato más justo </w:t>
      </w:r>
      <w:r w:rsidR="00E935A4">
        <w:rPr>
          <w:sz w:val="24"/>
          <w:szCs w:val="24"/>
        </w:rPr>
        <w:t xml:space="preserve">en </w:t>
      </w:r>
      <w:r w:rsidRPr="002707CC">
        <w:rPr>
          <w:sz w:val="24"/>
          <w:szCs w:val="24"/>
        </w:rPr>
        <w:t>para sus tra</w:t>
      </w:r>
      <w:r>
        <w:rPr>
          <w:sz w:val="24"/>
          <w:szCs w:val="24"/>
        </w:rPr>
        <w:t>nsacciones financieras básicas.</w:t>
      </w:r>
    </w:p>
    <w:p w:rsidR="002707CC" w:rsidRDefault="002707CC" w:rsidP="00A624E0">
      <w:pPr>
        <w:jc w:val="both"/>
        <w:rPr>
          <w:sz w:val="24"/>
          <w:szCs w:val="24"/>
        </w:rPr>
      </w:pPr>
      <w:r>
        <w:rPr>
          <w:sz w:val="24"/>
          <w:szCs w:val="24"/>
        </w:rPr>
        <w:t xml:space="preserve">Hay un déficit en la información disponible para el consumidor financiero que le ayude, por ejemplo, </w:t>
      </w:r>
      <w:r w:rsidRPr="002707CC">
        <w:rPr>
          <w:sz w:val="24"/>
          <w:szCs w:val="24"/>
        </w:rPr>
        <w:t>a acceder a términos y condiciones más convenientes en sus operaciones de crédito y así poder construir un buen historial crediticio, de modo de alcanzar una razonable seguridad financiera.</w:t>
      </w:r>
    </w:p>
    <w:p w:rsidR="002707CC" w:rsidRDefault="002707CC" w:rsidP="00A624E0">
      <w:pPr>
        <w:jc w:val="both"/>
        <w:rPr>
          <w:sz w:val="24"/>
          <w:szCs w:val="24"/>
        </w:rPr>
      </w:pPr>
      <w:r>
        <w:rPr>
          <w:sz w:val="24"/>
          <w:szCs w:val="24"/>
        </w:rPr>
        <w:t xml:space="preserve">Tampoco existe suficiente información para diferenciar la calidad de servicios financieros destinados a facilitar el manejo de la liquidez, como las cuentas corrientes y cuentas a la vista, o </w:t>
      </w:r>
      <w:r w:rsidR="001367E1">
        <w:rPr>
          <w:sz w:val="24"/>
          <w:szCs w:val="24"/>
        </w:rPr>
        <w:t xml:space="preserve">de sus medios de pago asociados, en particular la tarjeta de débito.  Similar es la </w:t>
      </w:r>
      <w:r w:rsidR="001367E1">
        <w:rPr>
          <w:sz w:val="24"/>
          <w:szCs w:val="24"/>
        </w:rPr>
        <w:lastRenderedPageBreak/>
        <w:t>situación de los productos de ahorro y de otros servicios como las transferencias de dinero.</w:t>
      </w:r>
    </w:p>
    <w:p w:rsidR="002707CC" w:rsidRDefault="002C10CE" w:rsidP="00A624E0">
      <w:pPr>
        <w:jc w:val="both"/>
        <w:rPr>
          <w:sz w:val="24"/>
          <w:szCs w:val="24"/>
        </w:rPr>
      </w:pPr>
      <w:r>
        <w:rPr>
          <w:sz w:val="24"/>
          <w:szCs w:val="24"/>
        </w:rPr>
        <w:t>E</w:t>
      </w:r>
      <w:r w:rsidRPr="002C10CE">
        <w:rPr>
          <w:sz w:val="24"/>
          <w:szCs w:val="24"/>
        </w:rPr>
        <w:t xml:space="preserve">n Chile, a diferencia de otras economías </w:t>
      </w:r>
      <w:r>
        <w:rPr>
          <w:sz w:val="24"/>
          <w:szCs w:val="24"/>
        </w:rPr>
        <w:t>en</w:t>
      </w:r>
      <w:r w:rsidRPr="002C10CE">
        <w:rPr>
          <w:sz w:val="24"/>
          <w:szCs w:val="24"/>
        </w:rPr>
        <w:t xml:space="preserve"> países desarrollados, no contamos con un Observatorio Financiero permanente</w:t>
      </w:r>
      <w:r>
        <w:rPr>
          <w:sz w:val="24"/>
          <w:szCs w:val="24"/>
        </w:rPr>
        <w:t xml:space="preserve"> que mida</w:t>
      </w:r>
      <w:r w:rsidR="00E935A4">
        <w:rPr>
          <w:sz w:val="24"/>
          <w:szCs w:val="24"/>
        </w:rPr>
        <w:t xml:space="preserve"> a los oferentes en la aplicación de las mejores prácticas</w:t>
      </w:r>
      <w:r>
        <w:rPr>
          <w:sz w:val="24"/>
          <w:szCs w:val="24"/>
        </w:rPr>
        <w:t xml:space="preserve"> </w:t>
      </w:r>
      <w:r w:rsidR="00E935A4">
        <w:rPr>
          <w:sz w:val="24"/>
          <w:szCs w:val="24"/>
        </w:rPr>
        <w:t xml:space="preserve">y en la disponibilidad de </w:t>
      </w:r>
      <w:r>
        <w:rPr>
          <w:sz w:val="24"/>
          <w:szCs w:val="24"/>
        </w:rPr>
        <w:t>información de manera de prestar apoyo al consumidor financiero en sus decisiones en este ámbito.</w:t>
      </w:r>
    </w:p>
    <w:p w:rsidR="00E935A4" w:rsidRDefault="002C10CE" w:rsidP="00A624E0">
      <w:pPr>
        <w:jc w:val="both"/>
        <w:rPr>
          <w:sz w:val="24"/>
          <w:szCs w:val="24"/>
        </w:rPr>
      </w:pPr>
      <w:r>
        <w:rPr>
          <w:sz w:val="24"/>
          <w:szCs w:val="24"/>
        </w:rPr>
        <w:t>E</w:t>
      </w:r>
      <w:r w:rsidRPr="002C10CE">
        <w:rPr>
          <w:sz w:val="24"/>
          <w:szCs w:val="24"/>
        </w:rPr>
        <w:t>l presente estudio propone una estructura de medición de la calidad de los servicios financieros minoristas ofrecidos por las principales entidades que participan de esta actividad</w:t>
      </w:r>
      <w:r>
        <w:rPr>
          <w:sz w:val="24"/>
          <w:szCs w:val="24"/>
        </w:rPr>
        <w:t xml:space="preserve">, de modo de crear un </w:t>
      </w:r>
      <w:r w:rsidR="00E935A4">
        <w:rPr>
          <w:sz w:val="24"/>
          <w:szCs w:val="24"/>
        </w:rPr>
        <w:t>Observatorio Financiero.</w:t>
      </w:r>
    </w:p>
    <w:p w:rsidR="002C10CE" w:rsidRDefault="002C10CE" w:rsidP="00A624E0">
      <w:pPr>
        <w:jc w:val="both"/>
        <w:rPr>
          <w:sz w:val="24"/>
          <w:szCs w:val="24"/>
        </w:rPr>
      </w:pPr>
      <w:r w:rsidRPr="002C10CE">
        <w:rPr>
          <w:sz w:val="24"/>
          <w:szCs w:val="24"/>
        </w:rPr>
        <w:t>Tal Observatorio permitiría poner a disposición de los consumidores financieros una información objetiv</w:t>
      </w:r>
      <w:r>
        <w:rPr>
          <w:sz w:val="24"/>
          <w:szCs w:val="24"/>
        </w:rPr>
        <w:t>a para tomar mejores decisiones a la hora de solicitar un servicio financiero.</w:t>
      </w:r>
    </w:p>
    <w:p w:rsidR="005E58DF" w:rsidRPr="00014E30" w:rsidRDefault="005E58DF" w:rsidP="00A624E0">
      <w:pPr>
        <w:jc w:val="both"/>
        <w:rPr>
          <w:sz w:val="24"/>
          <w:szCs w:val="24"/>
          <w:u w:val="single"/>
        </w:rPr>
      </w:pPr>
      <w:r w:rsidRPr="00014E30">
        <w:rPr>
          <w:sz w:val="24"/>
          <w:szCs w:val="24"/>
          <w:u w:val="single"/>
        </w:rPr>
        <w:t>Metodología</w:t>
      </w:r>
    </w:p>
    <w:p w:rsidR="000D3344" w:rsidRDefault="005E58DF" w:rsidP="00A624E0">
      <w:pPr>
        <w:jc w:val="both"/>
        <w:rPr>
          <w:sz w:val="24"/>
          <w:szCs w:val="24"/>
        </w:rPr>
      </w:pPr>
      <w:r>
        <w:rPr>
          <w:sz w:val="24"/>
          <w:szCs w:val="24"/>
        </w:rPr>
        <w:t>El presente informe seleccionó un conjunto de oferentes de servicios financieros minoristas sobre la base importancia para los consumidores y también buscando representar a diferentes tipos de instituciones que prestan este tipo de servicios.</w:t>
      </w:r>
    </w:p>
    <w:p w:rsidR="005E58DF" w:rsidRDefault="00D7406B" w:rsidP="00A624E0">
      <w:pPr>
        <w:jc w:val="both"/>
        <w:rPr>
          <w:sz w:val="24"/>
          <w:szCs w:val="24"/>
        </w:rPr>
      </w:pPr>
      <w:r>
        <w:rPr>
          <w:sz w:val="24"/>
          <w:szCs w:val="24"/>
        </w:rPr>
        <w:t>Se incluyó en este conjunto a 13 oferentes, entre ellos a los 5 mayores bancos, a 2 compañías de seguro activas en créditos de consumo, a 4 empresas del retail con importante actividad en el denominado retail financiero y también a 2 cajas de compensación.</w:t>
      </w:r>
    </w:p>
    <w:p w:rsidR="005E58DF" w:rsidRPr="00D7406B" w:rsidRDefault="005E58DF" w:rsidP="005E58DF">
      <w:pPr>
        <w:spacing w:after="0"/>
        <w:contextualSpacing/>
        <w:jc w:val="center"/>
        <w:rPr>
          <w:sz w:val="20"/>
          <w:szCs w:val="20"/>
        </w:rPr>
      </w:pPr>
      <w:r w:rsidRPr="00D7406B">
        <w:rPr>
          <w:sz w:val="20"/>
          <w:szCs w:val="20"/>
        </w:rPr>
        <w:t>Cuadro 1</w:t>
      </w:r>
    </w:p>
    <w:p w:rsidR="005E58DF" w:rsidRDefault="00E56157" w:rsidP="006959B5">
      <w:pPr>
        <w:spacing w:before="0"/>
        <w:jc w:val="center"/>
        <w:rPr>
          <w:sz w:val="24"/>
          <w:szCs w:val="24"/>
        </w:rPr>
      </w:pPr>
      <w:r w:rsidRPr="00E56157">
        <w:rPr>
          <w:noProof/>
          <w:szCs w:val="24"/>
          <w:lang w:eastAsia="es-CL"/>
        </w:rPr>
        <w:drawing>
          <wp:inline distT="0" distB="0" distL="0" distR="0">
            <wp:extent cx="2008163" cy="23400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08163" cy="2340000"/>
                    </a:xfrm>
                    <a:prstGeom prst="rect">
                      <a:avLst/>
                    </a:prstGeom>
                    <a:noFill/>
                    <a:ln w="9525">
                      <a:noFill/>
                      <a:miter lim="800000"/>
                      <a:headEnd/>
                      <a:tailEnd/>
                    </a:ln>
                  </pic:spPr>
                </pic:pic>
              </a:graphicData>
            </a:graphic>
          </wp:inline>
        </w:drawing>
      </w:r>
    </w:p>
    <w:p w:rsidR="000D3344" w:rsidRDefault="000D3344" w:rsidP="00A624E0">
      <w:pPr>
        <w:jc w:val="both"/>
        <w:rPr>
          <w:sz w:val="24"/>
          <w:szCs w:val="24"/>
        </w:rPr>
      </w:pPr>
      <w:r>
        <w:rPr>
          <w:sz w:val="24"/>
          <w:szCs w:val="24"/>
        </w:rPr>
        <w:lastRenderedPageBreak/>
        <w:t xml:space="preserve">Cabe señalar que estos oferentes no entregan todos los servicios financieros minoristas que existen en el mercado chileno, toda vez que existen regulaciones que limitan la oferta universal solo a los bancos.  En el caso de los oferentes que tienen </w:t>
      </w:r>
    </w:p>
    <w:p w:rsidR="00D7406B" w:rsidRDefault="00D7406B" w:rsidP="00A624E0">
      <w:pPr>
        <w:jc w:val="both"/>
        <w:rPr>
          <w:sz w:val="24"/>
          <w:szCs w:val="24"/>
        </w:rPr>
      </w:pPr>
      <w:r>
        <w:rPr>
          <w:sz w:val="24"/>
          <w:szCs w:val="24"/>
        </w:rPr>
        <w:t>Para la medición, se consideraron las siguientes cuatro dimensiones de análisis:</w:t>
      </w:r>
    </w:p>
    <w:p w:rsidR="00812E5C" w:rsidRPr="00D7406B" w:rsidRDefault="00812E5C" w:rsidP="00812E5C">
      <w:pPr>
        <w:spacing w:after="0"/>
        <w:contextualSpacing/>
        <w:jc w:val="center"/>
        <w:rPr>
          <w:sz w:val="20"/>
          <w:szCs w:val="20"/>
        </w:rPr>
      </w:pPr>
      <w:r>
        <w:rPr>
          <w:sz w:val="20"/>
          <w:szCs w:val="20"/>
        </w:rPr>
        <w:t>Cuadro 2</w:t>
      </w:r>
    </w:p>
    <w:p w:rsidR="00D7406B" w:rsidRDefault="000D3344" w:rsidP="006959B5">
      <w:pPr>
        <w:spacing w:before="0"/>
        <w:jc w:val="center"/>
        <w:rPr>
          <w:sz w:val="24"/>
          <w:szCs w:val="24"/>
        </w:rPr>
      </w:pPr>
      <w:r w:rsidRPr="000D3344">
        <w:rPr>
          <w:noProof/>
          <w:szCs w:val="24"/>
          <w:lang w:eastAsia="es-CL"/>
        </w:rPr>
        <w:drawing>
          <wp:inline distT="0" distB="0" distL="0" distR="0">
            <wp:extent cx="1976295" cy="900000"/>
            <wp:effectExtent l="19050" t="0" r="4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975903" cy="900752"/>
                    </a:xfrm>
                    <a:prstGeom prst="rect">
                      <a:avLst/>
                    </a:prstGeom>
                    <a:noFill/>
                    <a:ln w="9525">
                      <a:noFill/>
                      <a:miter lim="800000"/>
                      <a:headEnd/>
                      <a:tailEnd/>
                    </a:ln>
                  </pic:spPr>
                </pic:pic>
              </a:graphicData>
            </a:graphic>
          </wp:inline>
        </w:drawing>
      </w:r>
    </w:p>
    <w:p w:rsidR="006510C8" w:rsidRDefault="000D3344" w:rsidP="00A624E0">
      <w:pPr>
        <w:jc w:val="both"/>
        <w:rPr>
          <w:sz w:val="24"/>
          <w:szCs w:val="24"/>
        </w:rPr>
      </w:pPr>
      <w:r>
        <w:rPr>
          <w:sz w:val="24"/>
          <w:szCs w:val="24"/>
        </w:rPr>
        <w:t>Las dimensiones indicadas fueron medidas a partir de la información que cada oferente pone a disposición de sus clientes actuales o potenciales</w:t>
      </w:r>
      <w:r w:rsidR="006510C8">
        <w:rPr>
          <w:sz w:val="24"/>
          <w:szCs w:val="24"/>
        </w:rPr>
        <w:t xml:space="preserve"> en su respectivo sitio web.</w:t>
      </w:r>
    </w:p>
    <w:p w:rsidR="006510C8" w:rsidRDefault="000D3344" w:rsidP="00A624E0">
      <w:pPr>
        <w:jc w:val="both"/>
        <w:rPr>
          <w:sz w:val="24"/>
          <w:szCs w:val="24"/>
        </w:rPr>
      </w:pPr>
      <w:r>
        <w:rPr>
          <w:sz w:val="24"/>
          <w:szCs w:val="24"/>
        </w:rPr>
        <w:t xml:space="preserve">La primera dimensión busca evaluar si el oferente dispone </w:t>
      </w:r>
      <w:r w:rsidR="006510C8">
        <w:rPr>
          <w:sz w:val="24"/>
          <w:szCs w:val="24"/>
        </w:rPr>
        <w:t xml:space="preserve">en su sitio </w:t>
      </w:r>
      <w:r>
        <w:rPr>
          <w:sz w:val="24"/>
          <w:szCs w:val="24"/>
        </w:rPr>
        <w:t xml:space="preserve">de un </w:t>
      </w:r>
      <w:r w:rsidR="006510C8">
        <w:rPr>
          <w:sz w:val="24"/>
          <w:szCs w:val="24"/>
        </w:rPr>
        <w:t>recurso de educación financiera.</w:t>
      </w:r>
    </w:p>
    <w:p w:rsidR="006510C8" w:rsidRDefault="006510C8" w:rsidP="00A624E0">
      <w:pPr>
        <w:jc w:val="both"/>
        <w:rPr>
          <w:sz w:val="24"/>
          <w:szCs w:val="24"/>
        </w:rPr>
      </w:pPr>
      <w:r>
        <w:rPr>
          <w:sz w:val="24"/>
          <w:szCs w:val="24"/>
        </w:rPr>
        <w:t>La segunda pretende mostrar el nivel de transparencia con que las tarifas por los servicios son expuestas a los consumidores.</w:t>
      </w:r>
    </w:p>
    <w:p w:rsidR="00D7406B" w:rsidRDefault="006510C8" w:rsidP="00A624E0">
      <w:pPr>
        <w:jc w:val="both"/>
        <w:rPr>
          <w:sz w:val="24"/>
          <w:szCs w:val="24"/>
        </w:rPr>
      </w:pPr>
      <w:r>
        <w:rPr>
          <w:sz w:val="24"/>
          <w:szCs w:val="24"/>
        </w:rPr>
        <w:t>La tercera dimensión intenta medir la disponibilidad de los requisitos que debe cumplir un consumidor que quiera acceder a un producto financiero.</w:t>
      </w:r>
    </w:p>
    <w:p w:rsidR="006510C8" w:rsidRDefault="006510C8" w:rsidP="00A624E0">
      <w:pPr>
        <w:jc w:val="both"/>
        <w:rPr>
          <w:sz w:val="24"/>
          <w:szCs w:val="24"/>
        </w:rPr>
      </w:pPr>
      <w:r>
        <w:rPr>
          <w:sz w:val="24"/>
          <w:szCs w:val="24"/>
        </w:rPr>
        <w:t>Finalmente, la cuarta dimensión se refiere a la existencia de un mecanismo de resolución de disputas al que pueda recurrir un consumidor financiero en los casos en que sus derechos pudieran no ser respetados.</w:t>
      </w:r>
    </w:p>
    <w:p w:rsidR="00D7406B" w:rsidRDefault="00014E30" w:rsidP="00A624E0">
      <w:pPr>
        <w:jc w:val="both"/>
        <w:rPr>
          <w:sz w:val="24"/>
          <w:szCs w:val="24"/>
        </w:rPr>
      </w:pPr>
      <w:r>
        <w:rPr>
          <w:sz w:val="24"/>
          <w:szCs w:val="24"/>
        </w:rPr>
        <w:t>Los servicios financieros evaluados en estas cuatro dimensiones fueron los siguientes:</w:t>
      </w:r>
    </w:p>
    <w:p w:rsidR="006959B5" w:rsidRPr="00D7406B" w:rsidRDefault="006959B5" w:rsidP="006959B5">
      <w:pPr>
        <w:spacing w:after="0"/>
        <w:contextualSpacing/>
        <w:jc w:val="center"/>
        <w:rPr>
          <w:sz w:val="20"/>
          <w:szCs w:val="20"/>
        </w:rPr>
      </w:pPr>
      <w:r>
        <w:rPr>
          <w:sz w:val="20"/>
          <w:szCs w:val="20"/>
        </w:rPr>
        <w:t>Cuadro 3</w:t>
      </w:r>
    </w:p>
    <w:p w:rsidR="00D7406B" w:rsidRDefault="00014E30" w:rsidP="006959B5">
      <w:pPr>
        <w:spacing w:before="0"/>
        <w:jc w:val="center"/>
        <w:rPr>
          <w:sz w:val="24"/>
          <w:szCs w:val="24"/>
        </w:rPr>
      </w:pPr>
      <w:r w:rsidRPr="00014E30">
        <w:rPr>
          <w:noProof/>
          <w:szCs w:val="24"/>
          <w:lang w:eastAsia="es-CL"/>
        </w:rPr>
        <w:drawing>
          <wp:inline distT="0" distB="0" distL="0" distR="0">
            <wp:extent cx="1976295" cy="900000"/>
            <wp:effectExtent l="19050" t="0" r="4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976295" cy="900000"/>
                    </a:xfrm>
                    <a:prstGeom prst="rect">
                      <a:avLst/>
                    </a:prstGeom>
                    <a:noFill/>
                    <a:ln w="9525">
                      <a:noFill/>
                      <a:miter lim="800000"/>
                      <a:headEnd/>
                      <a:tailEnd/>
                    </a:ln>
                  </pic:spPr>
                </pic:pic>
              </a:graphicData>
            </a:graphic>
          </wp:inline>
        </w:drawing>
      </w:r>
    </w:p>
    <w:p w:rsidR="00C9499C" w:rsidRDefault="006959B5" w:rsidP="00C9499C">
      <w:pPr>
        <w:rPr>
          <w:sz w:val="24"/>
          <w:szCs w:val="24"/>
        </w:rPr>
      </w:pPr>
      <w:r>
        <w:rPr>
          <w:sz w:val="24"/>
          <w:szCs w:val="24"/>
        </w:rPr>
        <w:lastRenderedPageBreak/>
        <w:t>En</w:t>
      </w:r>
      <w:r w:rsidR="00C9499C">
        <w:rPr>
          <w:sz w:val="24"/>
          <w:szCs w:val="24"/>
        </w:rPr>
        <w:t xml:space="preserve"> el cuadro que sigue se indican </w:t>
      </w:r>
      <w:r>
        <w:rPr>
          <w:sz w:val="24"/>
          <w:szCs w:val="24"/>
        </w:rPr>
        <w:t xml:space="preserve">los productos </w:t>
      </w:r>
      <w:r w:rsidR="00C9499C">
        <w:rPr>
          <w:sz w:val="24"/>
          <w:szCs w:val="24"/>
        </w:rPr>
        <w:t>evaluados:</w:t>
      </w:r>
    </w:p>
    <w:p w:rsidR="00C9499C" w:rsidRPr="00D7406B" w:rsidRDefault="00C9499C" w:rsidP="00C9499C">
      <w:pPr>
        <w:spacing w:after="0"/>
        <w:contextualSpacing/>
        <w:jc w:val="center"/>
        <w:rPr>
          <w:sz w:val="20"/>
          <w:szCs w:val="20"/>
        </w:rPr>
      </w:pPr>
      <w:r>
        <w:rPr>
          <w:sz w:val="20"/>
          <w:szCs w:val="20"/>
        </w:rPr>
        <w:t>Cuadro 3</w:t>
      </w:r>
    </w:p>
    <w:p w:rsidR="00C9499C" w:rsidRDefault="00C9499C" w:rsidP="00C9499C">
      <w:pPr>
        <w:spacing w:before="0"/>
        <w:rPr>
          <w:sz w:val="24"/>
          <w:szCs w:val="24"/>
        </w:rPr>
      </w:pPr>
      <w:r w:rsidRPr="00C9499C">
        <w:rPr>
          <w:noProof/>
          <w:szCs w:val="24"/>
          <w:lang w:eastAsia="es-CL"/>
        </w:rPr>
        <w:drawing>
          <wp:inline distT="0" distB="0" distL="0" distR="0">
            <wp:extent cx="5306120" cy="1044000"/>
            <wp:effectExtent l="19050" t="0" r="883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306120" cy="1044000"/>
                    </a:xfrm>
                    <a:prstGeom prst="rect">
                      <a:avLst/>
                    </a:prstGeom>
                    <a:noFill/>
                    <a:ln w="9525">
                      <a:noFill/>
                      <a:miter lim="800000"/>
                      <a:headEnd/>
                      <a:tailEnd/>
                    </a:ln>
                  </pic:spPr>
                </pic:pic>
              </a:graphicData>
            </a:graphic>
          </wp:inline>
        </w:drawing>
      </w:r>
    </w:p>
    <w:p w:rsidR="00C9499C" w:rsidRDefault="00C9499C" w:rsidP="00A624E0">
      <w:pPr>
        <w:jc w:val="both"/>
        <w:rPr>
          <w:sz w:val="24"/>
          <w:szCs w:val="24"/>
        </w:rPr>
      </w:pPr>
      <w:r>
        <w:rPr>
          <w:sz w:val="24"/>
          <w:szCs w:val="24"/>
        </w:rPr>
        <w:t>Se aplicó un enfoque binario en la metodología de evaluación de los productos.  De este modo, por ejemplo, si se podía encontrar la tarifa de un cierto producto en el sitio web del oferente, ello implica una calificación de 1, mientras que si esa tarifa no estaba disponible en el sitio, entonces se asigna una puntuación de 0.</w:t>
      </w:r>
    </w:p>
    <w:p w:rsidR="000D782C" w:rsidRDefault="000D782C" w:rsidP="00A624E0">
      <w:pPr>
        <w:jc w:val="both"/>
        <w:rPr>
          <w:sz w:val="24"/>
          <w:szCs w:val="24"/>
        </w:rPr>
      </w:pPr>
      <w:r>
        <w:rPr>
          <w:sz w:val="24"/>
          <w:szCs w:val="24"/>
        </w:rPr>
        <w:t>Dado que el número de productos varía por razones regulatorios entre los diversos tipos de oferente, la medición se normaliza sobre base cien para efectos de facilitar la comparació</w:t>
      </w:r>
      <w:r w:rsidR="00E56157">
        <w:rPr>
          <w:sz w:val="24"/>
          <w:szCs w:val="24"/>
        </w:rPr>
        <w:t>n</w:t>
      </w:r>
      <w:r>
        <w:rPr>
          <w:sz w:val="24"/>
          <w:szCs w:val="24"/>
        </w:rPr>
        <w:t xml:space="preserve"> entre todos los actores</w:t>
      </w:r>
      <w:r w:rsidR="00E56157">
        <w:rPr>
          <w:sz w:val="24"/>
          <w:szCs w:val="24"/>
        </w:rPr>
        <w:t>, de modo que el máximo puntaje es 100 y la diferencia entre el puntaje logrado y el máximo indica el espacio de mejora</w:t>
      </w:r>
      <w:r>
        <w:rPr>
          <w:sz w:val="24"/>
          <w:szCs w:val="24"/>
        </w:rPr>
        <w:t>.</w:t>
      </w:r>
    </w:p>
    <w:p w:rsidR="006108F6" w:rsidRPr="00C647ED" w:rsidRDefault="006108F6" w:rsidP="00A624E0">
      <w:pPr>
        <w:jc w:val="both"/>
        <w:rPr>
          <w:sz w:val="24"/>
          <w:szCs w:val="24"/>
          <w:u w:val="single"/>
        </w:rPr>
      </w:pPr>
      <w:r w:rsidRPr="00C647ED">
        <w:rPr>
          <w:sz w:val="24"/>
          <w:szCs w:val="24"/>
          <w:u w:val="single"/>
        </w:rPr>
        <w:t>Resultados</w:t>
      </w:r>
    </w:p>
    <w:p w:rsidR="00E56157" w:rsidRDefault="00E56157" w:rsidP="00A624E0">
      <w:pPr>
        <w:jc w:val="both"/>
        <w:rPr>
          <w:sz w:val="24"/>
          <w:szCs w:val="24"/>
        </w:rPr>
      </w:pPr>
      <w:r>
        <w:rPr>
          <w:sz w:val="24"/>
          <w:szCs w:val="24"/>
        </w:rPr>
        <w:t xml:space="preserve">El siguiente cuadro muestra los resultados por tipo de institución en 3 de las 4 dimensiones analizadas: </w:t>
      </w:r>
    </w:p>
    <w:p w:rsidR="00E56157" w:rsidRPr="00D7406B" w:rsidRDefault="00E56157" w:rsidP="00E56157">
      <w:pPr>
        <w:spacing w:after="0"/>
        <w:contextualSpacing/>
        <w:jc w:val="center"/>
        <w:rPr>
          <w:sz w:val="20"/>
          <w:szCs w:val="20"/>
        </w:rPr>
      </w:pPr>
      <w:r>
        <w:rPr>
          <w:sz w:val="20"/>
          <w:szCs w:val="20"/>
        </w:rPr>
        <w:t>Cuadro 4</w:t>
      </w:r>
    </w:p>
    <w:p w:rsidR="00E56157" w:rsidRPr="00C647ED" w:rsidRDefault="00E56157" w:rsidP="00E56157">
      <w:pPr>
        <w:spacing w:before="0"/>
        <w:jc w:val="center"/>
        <w:rPr>
          <w:sz w:val="24"/>
          <w:szCs w:val="24"/>
        </w:rPr>
      </w:pPr>
      <w:r w:rsidRPr="00E56157">
        <w:rPr>
          <w:noProof/>
          <w:szCs w:val="24"/>
          <w:lang w:eastAsia="es-CL"/>
        </w:rPr>
        <w:drawing>
          <wp:inline distT="0" distB="0" distL="0" distR="0">
            <wp:extent cx="3394723" cy="144000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94723" cy="1440000"/>
                    </a:xfrm>
                    <a:prstGeom prst="rect">
                      <a:avLst/>
                    </a:prstGeom>
                    <a:noFill/>
                    <a:ln w="9525">
                      <a:noFill/>
                      <a:miter lim="800000"/>
                      <a:headEnd/>
                      <a:tailEnd/>
                    </a:ln>
                  </pic:spPr>
                </pic:pic>
              </a:graphicData>
            </a:graphic>
          </wp:inline>
        </w:drawing>
      </w:r>
    </w:p>
    <w:p w:rsidR="00E56157" w:rsidRDefault="00E56157" w:rsidP="00A624E0">
      <w:pPr>
        <w:jc w:val="both"/>
        <w:rPr>
          <w:sz w:val="24"/>
          <w:szCs w:val="24"/>
        </w:rPr>
      </w:pPr>
      <w:r>
        <w:rPr>
          <w:sz w:val="24"/>
          <w:szCs w:val="24"/>
        </w:rPr>
        <w:t>De acuerdo a la medición, se observa una importante diferencia entre los diferentes tipos de oferentes de servicios financieros.  Aunque con espacio para mejorar, los bancos muestran un claro mayor nivel de aplicación de buenas prácticas, mientras que los otros oferentes muestran deficiencias relevantes</w:t>
      </w:r>
      <w:r w:rsidR="00262ED0">
        <w:rPr>
          <w:sz w:val="24"/>
          <w:szCs w:val="24"/>
        </w:rPr>
        <w:t>, siendo la</w:t>
      </w:r>
      <w:r>
        <w:rPr>
          <w:sz w:val="24"/>
          <w:szCs w:val="24"/>
        </w:rPr>
        <w:t xml:space="preserve">s empresas del Retail Financiero </w:t>
      </w:r>
      <w:r w:rsidR="00262ED0">
        <w:rPr>
          <w:sz w:val="24"/>
          <w:szCs w:val="24"/>
        </w:rPr>
        <w:t xml:space="preserve">las que </w:t>
      </w:r>
      <w:r>
        <w:rPr>
          <w:sz w:val="24"/>
          <w:szCs w:val="24"/>
        </w:rPr>
        <w:t xml:space="preserve">exhiben </w:t>
      </w:r>
      <w:r w:rsidR="00262ED0">
        <w:rPr>
          <w:sz w:val="24"/>
          <w:szCs w:val="24"/>
        </w:rPr>
        <w:t xml:space="preserve">los </w:t>
      </w:r>
      <w:r>
        <w:rPr>
          <w:sz w:val="24"/>
          <w:szCs w:val="24"/>
        </w:rPr>
        <w:t xml:space="preserve">resultados </w:t>
      </w:r>
      <w:r w:rsidR="00262ED0">
        <w:rPr>
          <w:sz w:val="24"/>
          <w:szCs w:val="24"/>
        </w:rPr>
        <w:t>más bajos</w:t>
      </w:r>
      <w:r>
        <w:rPr>
          <w:sz w:val="24"/>
          <w:szCs w:val="24"/>
        </w:rPr>
        <w:t>.</w:t>
      </w:r>
    </w:p>
    <w:p w:rsidR="00FE3376" w:rsidRDefault="00FE3376" w:rsidP="00A624E0">
      <w:pPr>
        <w:jc w:val="both"/>
        <w:rPr>
          <w:sz w:val="24"/>
          <w:szCs w:val="24"/>
        </w:rPr>
      </w:pPr>
      <w:r>
        <w:rPr>
          <w:sz w:val="24"/>
          <w:szCs w:val="24"/>
        </w:rPr>
        <w:lastRenderedPageBreak/>
        <w:t>Cabe destacar que la dimensión Resolución de Disputas solo logra puntajes entre los oferentes bancarios.</w:t>
      </w:r>
    </w:p>
    <w:p w:rsidR="006108F6" w:rsidRPr="00C647ED" w:rsidRDefault="00262ED0" w:rsidP="00A624E0">
      <w:pPr>
        <w:jc w:val="both"/>
        <w:rPr>
          <w:sz w:val="24"/>
          <w:szCs w:val="24"/>
        </w:rPr>
      </w:pPr>
      <w:r>
        <w:rPr>
          <w:sz w:val="24"/>
          <w:szCs w:val="24"/>
        </w:rPr>
        <w:t>En la dimensión Divulgación de Tarifas, según se observa a continuación, los resultados muestran nuevamente a la banca en una posición de liderazgo, mientras que las compañías de seguros son las que en este caso muestran el peor desempeño.</w:t>
      </w:r>
    </w:p>
    <w:p w:rsidR="00262ED0" w:rsidRPr="00D7406B" w:rsidRDefault="00262ED0" w:rsidP="00262ED0">
      <w:pPr>
        <w:spacing w:after="0"/>
        <w:contextualSpacing/>
        <w:jc w:val="center"/>
        <w:rPr>
          <w:sz w:val="20"/>
          <w:szCs w:val="20"/>
        </w:rPr>
      </w:pPr>
      <w:r>
        <w:rPr>
          <w:sz w:val="20"/>
          <w:szCs w:val="20"/>
        </w:rPr>
        <w:t>Cuadro 5</w:t>
      </w:r>
    </w:p>
    <w:p w:rsidR="006108F6" w:rsidRDefault="00262ED0" w:rsidP="00FE3376">
      <w:pPr>
        <w:spacing w:before="0" w:after="0"/>
        <w:jc w:val="center"/>
        <w:rPr>
          <w:sz w:val="24"/>
          <w:szCs w:val="24"/>
        </w:rPr>
      </w:pPr>
      <w:r w:rsidRPr="00262ED0">
        <w:rPr>
          <w:noProof/>
          <w:szCs w:val="24"/>
          <w:lang w:eastAsia="es-CL"/>
        </w:rPr>
        <w:drawing>
          <wp:inline distT="0" distB="0" distL="0" distR="0">
            <wp:extent cx="4001389" cy="1440000"/>
            <wp:effectExtent l="1905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001389" cy="1440000"/>
                    </a:xfrm>
                    <a:prstGeom prst="rect">
                      <a:avLst/>
                    </a:prstGeom>
                    <a:noFill/>
                    <a:ln w="9525">
                      <a:noFill/>
                      <a:miter lim="800000"/>
                      <a:headEnd/>
                      <a:tailEnd/>
                    </a:ln>
                  </pic:spPr>
                </pic:pic>
              </a:graphicData>
            </a:graphic>
          </wp:inline>
        </w:drawing>
      </w:r>
    </w:p>
    <w:p w:rsidR="00FE3376" w:rsidRPr="00FE3376" w:rsidRDefault="00FE3376" w:rsidP="00262ED0">
      <w:pPr>
        <w:spacing w:before="0"/>
        <w:jc w:val="center"/>
        <w:rPr>
          <w:sz w:val="16"/>
          <w:szCs w:val="16"/>
        </w:rPr>
      </w:pPr>
      <w:r w:rsidRPr="00FE3376">
        <w:rPr>
          <w:sz w:val="16"/>
          <w:szCs w:val="16"/>
        </w:rPr>
        <w:t>Nota: na= No aplica</w:t>
      </w:r>
    </w:p>
    <w:p w:rsidR="00262ED0" w:rsidRDefault="00262ED0" w:rsidP="00A624E0">
      <w:pPr>
        <w:spacing w:before="0"/>
        <w:jc w:val="both"/>
        <w:rPr>
          <w:sz w:val="24"/>
          <w:szCs w:val="24"/>
        </w:rPr>
      </w:pPr>
      <w:r>
        <w:rPr>
          <w:sz w:val="24"/>
          <w:szCs w:val="24"/>
        </w:rPr>
        <w:t>Los resultados a nivel individual por oferente muestran también diferencias significativas entre las distintas entidades evaluadas.  En el caso de los bancos, el mejor puntaje lo obtiene el Banco de Chile</w:t>
      </w:r>
      <w:r w:rsidR="006836A1">
        <w:rPr>
          <w:sz w:val="24"/>
          <w:szCs w:val="24"/>
        </w:rPr>
        <w:t>, seguido a distancia por el Banco del Estado.  Muy atrás se ubica el recientemente fusionado Itaú-Corpbanca.</w:t>
      </w:r>
    </w:p>
    <w:p w:rsidR="006836A1" w:rsidRPr="00D7406B" w:rsidRDefault="003C6EF3" w:rsidP="006836A1">
      <w:pPr>
        <w:spacing w:after="0"/>
        <w:contextualSpacing/>
        <w:jc w:val="center"/>
        <w:rPr>
          <w:sz w:val="20"/>
          <w:szCs w:val="20"/>
        </w:rPr>
      </w:pPr>
      <w:r>
        <w:rPr>
          <w:sz w:val="20"/>
          <w:szCs w:val="20"/>
        </w:rPr>
        <w:t>Cuadro 6</w:t>
      </w:r>
    </w:p>
    <w:p w:rsidR="00262ED0" w:rsidRDefault="006836A1" w:rsidP="006836A1">
      <w:pPr>
        <w:spacing w:before="0"/>
        <w:jc w:val="center"/>
        <w:rPr>
          <w:sz w:val="24"/>
          <w:szCs w:val="24"/>
        </w:rPr>
      </w:pPr>
      <w:r w:rsidRPr="006836A1">
        <w:rPr>
          <w:noProof/>
          <w:szCs w:val="24"/>
          <w:lang w:eastAsia="es-CL"/>
        </w:rPr>
        <w:drawing>
          <wp:inline distT="0" distB="0" distL="0" distR="0">
            <wp:extent cx="5048057" cy="1440000"/>
            <wp:effectExtent l="19050" t="0" r="193"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048057" cy="1440000"/>
                    </a:xfrm>
                    <a:prstGeom prst="rect">
                      <a:avLst/>
                    </a:prstGeom>
                    <a:noFill/>
                    <a:ln w="9525">
                      <a:noFill/>
                      <a:miter lim="800000"/>
                      <a:headEnd/>
                      <a:tailEnd/>
                    </a:ln>
                  </pic:spPr>
                </pic:pic>
              </a:graphicData>
            </a:graphic>
          </wp:inline>
        </w:drawing>
      </w:r>
    </w:p>
    <w:p w:rsidR="00FE3376" w:rsidRDefault="003C6EF3" w:rsidP="00A624E0">
      <w:pPr>
        <w:spacing w:before="0"/>
        <w:jc w:val="both"/>
        <w:rPr>
          <w:sz w:val="24"/>
          <w:szCs w:val="24"/>
        </w:rPr>
      </w:pPr>
      <w:r>
        <w:rPr>
          <w:sz w:val="24"/>
          <w:szCs w:val="24"/>
        </w:rPr>
        <w:t>Entre l</w:t>
      </w:r>
      <w:r w:rsidR="006836A1">
        <w:rPr>
          <w:sz w:val="24"/>
          <w:szCs w:val="24"/>
        </w:rPr>
        <w:t xml:space="preserve">as </w:t>
      </w:r>
      <w:r>
        <w:rPr>
          <w:sz w:val="24"/>
          <w:szCs w:val="24"/>
        </w:rPr>
        <w:t xml:space="preserve">dos </w:t>
      </w:r>
      <w:r w:rsidR="006836A1">
        <w:rPr>
          <w:sz w:val="24"/>
          <w:szCs w:val="24"/>
        </w:rPr>
        <w:t>compañías de seguros</w:t>
      </w:r>
      <w:r>
        <w:rPr>
          <w:sz w:val="24"/>
          <w:szCs w:val="24"/>
        </w:rPr>
        <w:t xml:space="preserve"> evaluadas se observa una diferencia significativa</w:t>
      </w:r>
      <w:r w:rsidR="00FE3376">
        <w:rPr>
          <w:sz w:val="24"/>
          <w:szCs w:val="24"/>
        </w:rPr>
        <w:t>, destacando positivamente Consorcio, aunque muy por debajo de sus competidores bancarios.</w:t>
      </w:r>
    </w:p>
    <w:p w:rsidR="00262ED0" w:rsidRDefault="00FE3376" w:rsidP="00A624E0">
      <w:pPr>
        <w:spacing w:before="0"/>
        <w:jc w:val="both"/>
        <w:rPr>
          <w:sz w:val="24"/>
          <w:szCs w:val="24"/>
        </w:rPr>
      </w:pPr>
      <w:r>
        <w:rPr>
          <w:sz w:val="24"/>
          <w:szCs w:val="24"/>
        </w:rPr>
        <w:t>Llama la atención que estos oferentes no obtengan puntaje en la dimensi</w:t>
      </w:r>
      <w:r w:rsidR="002412BA">
        <w:rPr>
          <w:sz w:val="24"/>
          <w:szCs w:val="24"/>
        </w:rPr>
        <w:t xml:space="preserve">ón </w:t>
      </w:r>
      <w:r>
        <w:rPr>
          <w:sz w:val="24"/>
          <w:szCs w:val="24"/>
        </w:rPr>
        <w:t>Divulgación de Tarifas</w:t>
      </w:r>
      <w:r w:rsidR="002412BA">
        <w:rPr>
          <w:sz w:val="24"/>
          <w:szCs w:val="24"/>
        </w:rPr>
        <w:t xml:space="preserve"> y tampoco en Resolución de Disputas</w:t>
      </w:r>
      <w:r>
        <w:rPr>
          <w:sz w:val="24"/>
          <w:szCs w:val="24"/>
        </w:rPr>
        <w:t>.</w:t>
      </w:r>
    </w:p>
    <w:p w:rsidR="002412BA" w:rsidRDefault="002412BA" w:rsidP="00262ED0">
      <w:pPr>
        <w:spacing w:before="0"/>
        <w:rPr>
          <w:sz w:val="24"/>
          <w:szCs w:val="24"/>
        </w:rPr>
      </w:pPr>
    </w:p>
    <w:p w:rsidR="006836A1" w:rsidRPr="00D7406B" w:rsidRDefault="003C6EF3" w:rsidP="006836A1">
      <w:pPr>
        <w:spacing w:after="0"/>
        <w:contextualSpacing/>
        <w:jc w:val="center"/>
        <w:rPr>
          <w:sz w:val="20"/>
          <w:szCs w:val="20"/>
        </w:rPr>
      </w:pPr>
      <w:r>
        <w:rPr>
          <w:sz w:val="20"/>
          <w:szCs w:val="20"/>
        </w:rPr>
        <w:lastRenderedPageBreak/>
        <w:t>Cuadro 7</w:t>
      </w:r>
    </w:p>
    <w:p w:rsidR="006836A1" w:rsidRDefault="006836A1" w:rsidP="003C6EF3">
      <w:pPr>
        <w:spacing w:before="0"/>
        <w:jc w:val="center"/>
        <w:rPr>
          <w:sz w:val="24"/>
          <w:szCs w:val="24"/>
        </w:rPr>
      </w:pPr>
      <w:r w:rsidRPr="006836A1">
        <w:rPr>
          <w:noProof/>
          <w:szCs w:val="24"/>
          <w:lang w:eastAsia="es-CL"/>
        </w:rPr>
        <w:drawing>
          <wp:inline distT="0" distB="0" distL="0" distR="0">
            <wp:extent cx="3248057" cy="1440000"/>
            <wp:effectExtent l="19050" t="0" r="9493"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248057" cy="1440000"/>
                    </a:xfrm>
                    <a:prstGeom prst="rect">
                      <a:avLst/>
                    </a:prstGeom>
                    <a:noFill/>
                    <a:ln w="9525">
                      <a:noFill/>
                      <a:miter lim="800000"/>
                      <a:headEnd/>
                      <a:tailEnd/>
                    </a:ln>
                  </pic:spPr>
                </pic:pic>
              </a:graphicData>
            </a:graphic>
          </wp:inline>
        </w:drawing>
      </w:r>
    </w:p>
    <w:p w:rsidR="006836A1" w:rsidRDefault="00FE3376" w:rsidP="00A624E0">
      <w:pPr>
        <w:jc w:val="both"/>
        <w:rPr>
          <w:sz w:val="24"/>
          <w:szCs w:val="24"/>
        </w:rPr>
      </w:pPr>
      <w:r>
        <w:rPr>
          <w:sz w:val="24"/>
          <w:szCs w:val="24"/>
        </w:rPr>
        <w:t xml:space="preserve">En el caso de las empresas del retail financiero se aprecia un desempeño muy parejo entre todos los oferentes evaluados, aunque su nivel general es muy pobre.  </w:t>
      </w:r>
      <w:r w:rsidR="002412BA">
        <w:rPr>
          <w:sz w:val="24"/>
          <w:szCs w:val="24"/>
        </w:rPr>
        <w:t xml:space="preserve">Al igual que en el caso de las compañías de seguros, </w:t>
      </w:r>
      <w:r>
        <w:rPr>
          <w:sz w:val="24"/>
          <w:szCs w:val="24"/>
        </w:rPr>
        <w:t>ningún oferente de este grupo obt</w:t>
      </w:r>
      <w:r w:rsidR="002412BA">
        <w:rPr>
          <w:sz w:val="24"/>
          <w:szCs w:val="24"/>
        </w:rPr>
        <w:t>i</w:t>
      </w:r>
      <w:r>
        <w:rPr>
          <w:sz w:val="24"/>
          <w:szCs w:val="24"/>
        </w:rPr>
        <w:t>en</w:t>
      </w:r>
      <w:r w:rsidR="002412BA">
        <w:rPr>
          <w:sz w:val="24"/>
          <w:szCs w:val="24"/>
        </w:rPr>
        <w:t>e</w:t>
      </w:r>
      <w:r>
        <w:rPr>
          <w:sz w:val="24"/>
          <w:szCs w:val="24"/>
        </w:rPr>
        <w:t xml:space="preserve"> puntaje en la</w:t>
      </w:r>
      <w:r w:rsidR="002412BA">
        <w:rPr>
          <w:sz w:val="24"/>
          <w:szCs w:val="24"/>
        </w:rPr>
        <w:t>s</w:t>
      </w:r>
      <w:r>
        <w:rPr>
          <w:sz w:val="24"/>
          <w:szCs w:val="24"/>
        </w:rPr>
        <w:t xml:space="preserve"> dimensi</w:t>
      </w:r>
      <w:r w:rsidR="002412BA">
        <w:rPr>
          <w:sz w:val="24"/>
          <w:szCs w:val="24"/>
        </w:rPr>
        <w:t>ones</w:t>
      </w:r>
      <w:r>
        <w:rPr>
          <w:sz w:val="24"/>
          <w:szCs w:val="24"/>
        </w:rPr>
        <w:t xml:space="preserve"> Tutorial de Educación Financiera</w:t>
      </w:r>
      <w:r w:rsidR="002412BA">
        <w:rPr>
          <w:sz w:val="24"/>
          <w:szCs w:val="24"/>
        </w:rPr>
        <w:t xml:space="preserve"> y Resolución de Disputas</w:t>
      </w:r>
      <w:r>
        <w:rPr>
          <w:sz w:val="24"/>
          <w:szCs w:val="24"/>
        </w:rPr>
        <w:t>.</w:t>
      </w:r>
    </w:p>
    <w:p w:rsidR="006836A1" w:rsidRPr="00D7406B" w:rsidRDefault="003C6EF3" w:rsidP="006836A1">
      <w:pPr>
        <w:spacing w:after="0"/>
        <w:contextualSpacing/>
        <w:jc w:val="center"/>
        <w:rPr>
          <w:sz w:val="20"/>
          <w:szCs w:val="20"/>
        </w:rPr>
      </w:pPr>
      <w:r>
        <w:rPr>
          <w:sz w:val="20"/>
          <w:szCs w:val="20"/>
        </w:rPr>
        <w:t>Cuadro 8</w:t>
      </w:r>
    </w:p>
    <w:p w:rsidR="006836A1" w:rsidRDefault="006836A1" w:rsidP="003C6EF3">
      <w:pPr>
        <w:spacing w:before="0"/>
        <w:jc w:val="center"/>
        <w:rPr>
          <w:sz w:val="24"/>
          <w:szCs w:val="24"/>
        </w:rPr>
      </w:pPr>
      <w:r w:rsidRPr="006836A1">
        <w:rPr>
          <w:noProof/>
          <w:szCs w:val="24"/>
          <w:lang w:eastAsia="es-CL"/>
        </w:rPr>
        <w:drawing>
          <wp:inline distT="0" distB="0" distL="0" distR="0">
            <wp:extent cx="4381390" cy="1440000"/>
            <wp:effectExtent l="19050" t="0" r="11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381390" cy="1440000"/>
                    </a:xfrm>
                    <a:prstGeom prst="rect">
                      <a:avLst/>
                    </a:prstGeom>
                    <a:noFill/>
                    <a:ln w="9525">
                      <a:noFill/>
                      <a:miter lim="800000"/>
                      <a:headEnd/>
                      <a:tailEnd/>
                    </a:ln>
                  </pic:spPr>
                </pic:pic>
              </a:graphicData>
            </a:graphic>
          </wp:inline>
        </w:drawing>
      </w:r>
    </w:p>
    <w:p w:rsidR="006836A1" w:rsidRDefault="002412BA" w:rsidP="00A624E0">
      <w:pPr>
        <w:jc w:val="both"/>
        <w:rPr>
          <w:sz w:val="24"/>
          <w:szCs w:val="24"/>
        </w:rPr>
      </w:pPr>
      <w:r>
        <w:rPr>
          <w:sz w:val="24"/>
          <w:szCs w:val="24"/>
        </w:rPr>
        <w:t>Finalmente, las dos cajas de compensación evaluadas obtienen los mismos puntajes, ambas en un nivel muy insuficiente.  Con todo, y a diferencia de otros oferentes, exhiben puntos en la dimensión Tutorial de Educación Financiera.</w:t>
      </w:r>
    </w:p>
    <w:p w:rsidR="006836A1" w:rsidRPr="00D7406B" w:rsidRDefault="003C6EF3" w:rsidP="006836A1">
      <w:pPr>
        <w:spacing w:after="0"/>
        <w:contextualSpacing/>
        <w:jc w:val="center"/>
        <w:rPr>
          <w:sz w:val="20"/>
          <w:szCs w:val="20"/>
        </w:rPr>
      </w:pPr>
      <w:r>
        <w:rPr>
          <w:sz w:val="20"/>
          <w:szCs w:val="20"/>
        </w:rPr>
        <w:t>Cuadro 9</w:t>
      </w:r>
    </w:p>
    <w:p w:rsidR="006836A1" w:rsidRDefault="006836A1" w:rsidP="003C6EF3">
      <w:pPr>
        <w:spacing w:before="0"/>
        <w:jc w:val="center"/>
        <w:rPr>
          <w:sz w:val="24"/>
          <w:szCs w:val="24"/>
        </w:rPr>
      </w:pPr>
      <w:r w:rsidRPr="006836A1">
        <w:rPr>
          <w:noProof/>
          <w:szCs w:val="24"/>
          <w:lang w:eastAsia="es-CL"/>
        </w:rPr>
        <w:drawing>
          <wp:inline distT="0" distB="0" distL="0" distR="0">
            <wp:extent cx="3248057" cy="1440000"/>
            <wp:effectExtent l="19050" t="0" r="9493"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248057" cy="1440000"/>
                    </a:xfrm>
                    <a:prstGeom prst="rect">
                      <a:avLst/>
                    </a:prstGeom>
                    <a:noFill/>
                    <a:ln w="9525">
                      <a:noFill/>
                      <a:miter lim="800000"/>
                      <a:headEnd/>
                      <a:tailEnd/>
                    </a:ln>
                  </pic:spPr>
                </pic:pic>
              </a:graphicData>
            </a:graphic>
          </wp:inline>
        </w:drawing>
      </w:r>
    </w:p>
    <w:p w:rsidR="006836A1" w:rsidRDefault="006836A1" w:rsidP="00BD59CC">
      <w:pPr>
        <w:rPr>
          <w:sz w:val="24"/>
          <w:szCs w:val="24"/>
        </w:rPr>
      </w:pPr>
    </w:p>
    <w:p w:rsidR="006836A1" w:rsidRDefault="006836A1" w:rsidP="00BD59CC">
      <w:pPr>
        <w:rPr>
          <w:sz w:val="24"/>
          <w:szCs w:val="24"/>
        </w:rPr>
      </w:pPr>
    </w:p>
    <w:p w:rsidR="006108F6" w:rsidRPr="00C647ED" w:rsidRDefault="006108F6" w:rsidP="00BD59CC">
      <w:pPr>
        <w:rPr>
          <w:sz w:val="24"/>
          <w:szCs w:val="24"/>
          <w:u w:val="single"/>
        </w:rPr>
      </w:pPr>
      <w:r w:rsidRPr="00C647ED">
        <w:rPr>
          <w:sz w:val="24"/>
          <w:szCs w:val="24"/>
          <w:u w:val="single"/>
        </w:rPr>
        <w:lastRenderedPageBreak/>
        <w:t>Conclusiones</w:t>
      </w:r>
    </w:p>
    <w:p w:rsidR="00C9499C" w:rsidRDefault="002412BA" w:rsidP="00A624E0">
      <w:pPr>
        <w:jc w:val="both"/>
        <w:rPr>
          <w:sz w:val="24"/>
          <w:szCs w:val="24"/>
        </w:rPr>
      </w:pPr>
      <w:r>
        <w:rPr>
          <w:sz w:val="24"/>
          <w:szCs w:val="24"/>
        </w:rPr>
        <w:t>Este primer ejercicio de medición de la aplicación de buenas prácticas por parte de los oferentes de servicios financieros minoristas muestra interesantes resultados.</w:t>
      </w:r>
    </w:p>
    <w:p w:rsidR="002412BA" w:rsidRDefault="002412BA" w:rsidP="00A624E0">
      <w:pPr>
        <w:jc w:val="both"/>
        <w:rPr>
          <w:sz w:val="24"/>
          <w:szCs w:val="24"/>
        </w:rPr>
      </w:pPr>
      <w:r>
        <w:rPr>
          <w:sz w:val="24"/>
          <w:szCs w:val="24"/>
        </w:rPr>
        <w:t>A excepción de la banca, que muestra puntajes muy por encima de sus competidores de otr</w:t>
      </w:r>
      <w:bookmarkStart w:id="0" w:name="_GoBack"/>
      <w:bookmarkEnd w:id="0"/>
      <w:r>
        <w:rPr>
          <w:sz w:val="24"/>
          <w:szCs w:val="24"/>
        </w:rPr>
        <w:t>as definiciones jurídicas, los resultados son decepcionantemente bajos.  Es claro que compañías de seguros, empresas del retail y cajas de compensación están lejos de alcanzar niveles aceptables.  El aspecto positivo es que tienen un ampli</w:t>
      </w:r>
      <w:r w:rsidR="007953B1">
        <w:rPr>
          <w:sz w:val="24"/>
          <w:szCs w:val="24"/>
        </w:rPr>
        <w:t>o</w:t>
      </w:r>
      <w:r>
        <w:rPr>
          <w:sz w:val="24"/>
          <w:szCs w:val="24"/>
        </w:rPr>
        <w:t xml:space="preserve"> espacio para mejorar </w:t>
      </w:r>
      <w:r w:rsidR="007953B1">
        <w:rPr>
          <w:sz w:val="24"/>
          <w:szCs w:val="24"/>
        </w:rPr>
        <w:t>en todas las dimensiones analizadas.</w:t>
      </w:r>
    </w:p>
    <w:p w:rsidR="007953B1" w:rsidRPr="00C647ED" w:rsidRDefault="007953B1" w:rsidP="00A624E0">
      <w:pPr>
        <w:jc w:val="both"/>
        <w:rPr>
          <w:sz w:val="24"/>
          <w:szCs w:val="24"/>
        </w:rPr>
      </w:pPr>
      <w:r>
        <w:rPr>
          <w:sz w:val="24"/>
          <w:szCs w:val="24"/>
        </w:rPr>
        <w:t>La banca, no obstante su posición de liderazgo en esta evaluación, tiene también un importante desafío para mejorar en mate</w:t>
      </w:r>
      <w:r w:rsidR="00743ABF">
        <w:rPr>
          <w:sz w:val="24"/>
          <w:szCs w:val="24"/>
        </w:rPr>
        <w:t>ria de buenas prácticas en</w:t>
      </w:r>
      <w:r>
        <w:rPr>
          <w:sz w:val="24"/>
          <w:szCs w:val="24"/>
        </w:rPr>
        <w:t xml:space="preserve"> las dimensiones</w:t>
      </w:r>
      <w:r w:rsidR="00743ABF">
        <w:rPr>
          <w:sz w:val="24"/>
          <w:szCs w:val="24"/>
        </w:rPr>
        <w:t xml:space="preserve"> analizadas</w:t>
      </w:r>
      <w:r>
        <w:rPr>
          <w:sz w:val="24"/>
          <w:szCs w:val="24"/>
        </w:rPr>
        <w:t>, aunque en particular en los mecanismos de Resolución de Disputas.</w:t>
      </w:r>
    </w:p>
    <w:p w:rsidR="006108F6" w:rsidRDefault="007953B1" w:rsidP="00A624E0">
      <w:pPr>
        <w:jc w:val="both"/>
        <w:rPr>
          <w:sz w:val="24"/>
          <w:szCs w:val="24"/>
        </w:rPr>
      </w:pPr>
      <w:r>
        <w:rPr>
          <w:sz w:val="24"/>
          <w:szCs w:val="24"/>
        </w:rPr>
        <w:t xml:space="preserve">El desafío mayor lo tienen las empresas del retail financiero, cuyos puntajes son muy bajos </w:t>
      </w:r>
      <w:r w:rsidR="00743ABF">
        <w:rPr>
          <w:sz w:val="24"/>
          <w:szCs w:val="24"/>
        </w:rPr>
        <w:t>en</w:t>
      </w:r>
      <w:r>
        <w:rPr>
          <w:sz w:val="24"/>
          <w:szCs w:val="24"/>
        </w:rPr>
        <w:t xml:space="preserve"> todas las dimensiones.</w:t>
      </w:r>
    </w:p>
    <w:p w:rsidR="007953B1" w:rsidRDefault="00C6222D" w:rsidP="00A624E0">
      <w:pPr>
        <w:jc w:val="both"/>
        <w:rPr>
          <w:sz w:val="24"/>
          <w:szCs w:val="24"/>
        </w:rPr>
      </w:pPr>
      <w:r>
        <w:rPr>
          <w:sz w:val="24"/>
          <w:szCs w:val="24"/>
        </w:rPr>
        <w:t>L</w:t>
      </w:r>
      <w:r w:rsidR="007953B1">
        <w:rPr>
          <w:sz w:val="24"/>
          <w:szCs w:val="24"/>
        </w:rPr>
        <w:t>a aplicación de mejores prácticas y las mejoras en el desempeño de los oferentes en la</w:t>
      </w:r>
      <w:r w:rsidR="00743ABF">
        <w:rPr>
          <w:sz w:val="24"/>
          <w:szCs w:val="24"/>
        </w:rPr>
        <w:t>s dimensione</w:t>
      </w:r>
      <w:r w:rsidR="007953B1">
        <w:rPr>
          <w:sz w:val="24"/>
          <w:szCs w:val="24"/>
        </w:rPr>
        <w:t xml:space="preserve">s analizadas </w:t>
      </w:r>
      <w:r w:rsidR="00743ABF">
        <w:rPr>
          <w:sz w:val="24"/>
          <w:szCs w:val="24"/>
        </w:rPr>
        <w:t>tiene un impacto positivo en su</w:t>
      </w:r>
      <w:r w:rsidR="007953B1">
        <w:rPr>
          <w:sz w:val="24"/>
          <w:szCs w:val="24"/>
        </w:rPr>
        <w:t xml:space="preserve"> conducta de mercado, con </w:t>
      </w:r>
      <w:r w:rsidR="00743ABF">
        <w:rPr>
          <w:sz w:val="24"/>
          <w:szCs w:val="24"/>
        </w:rPr>
        <w:t>un</w:t>
      </w:r>
      <w:r w:rsidR="007953B1">
        <w:rPr>
          <w:sz w:val="24"/>
          <w:szCs w:val="24"/>
        </w:rPr>
        <w:t xml:space="preserve"> resultado de clientes más satisfechos y más fieles</w:t>
      </w:r>
      <w:r w:rsidR="00743ABF">
        <w:rPr>
          <w:sz w:val="24"/>
          <w:szCs w:val="24"/>
        </w:rPr>
        <w:t>.</w:t>
      </w:r>
      <w:r w:rsidR="00730D2A">
        <w:rPr>
          <w:sz w:val="24"/>
          <w:szCs w:val="24"/>
        </w:rPr>
        <w:t xml:space="preserve">  Su medición s</w:t>
      </w:r>
      <w:r w:rsidR="00743ABF">
        <w:rPr>
          <w:sz w:val="24"/>
          <w:szCs w:val="24"/>
        </w:rPr>
        <w:t>obre la base de un proceso objetivo e independiente, releva tanto sus puntos fuertes como los débiles, entregando información estratégica para el negocio.  Avanzar en la superación de las insuficiencias detectadas tiene el potencial de reducir</w:t>
      </w:r>
      <w:r>
        <w:rPr>
          <w:sz w:val="24"/>
          <w:szCs w:val="24"/>
        </w:rPr>
        <w:t xml:space="preserve"> los niveles de reclamo y conflictividad </w:t>
      </w:r>
      <w:r w:rsidR="00743ABF">
        <w:rPr>
          <w:sz w:val="24"/>
          <w:szCs w:val="24"/>
        </w:rPr>
        <w:t xml:space="preserve">y se constituye en una herramienta </w:t>
      </w:r>
      <w:r w:rsidR="007953B1">
        <w:rPr>
          <w:sz w:val="24"/>
          <w:szCs w:val="24"/>
        </w:rPr>
        <w:t xml:space="preserve">de mutuo beneficio tanto para </w:t>
      </w:r>
      <w:r>
        <w:rPr>
          <w:sz w:val="24"/>
          <w:szCs w:val="24"/>
        </w:rPr>
        <w:t>oferentes como para consumidores.</w:t>
      </w:r>
    </w:p>
    <w:p w:rsidR="00743ABF" w:rsidRDefault="00C6222D" w:rsidP="00A624E0">
      <w:pPr>
        <w:jc w:val="both"/>
        <w:rPr>
          <w:sz w:val="24"/>
          <w:szCs w:val="24"/>
        </w:rPr>
      </w:pPr>
      <w:r>
        <w:rPr>
          <w:sz w:val="24"/>
          <w:szCs w:val="24"/>
        </w:rPr>
        <w:t>Desde la perspectiva del consumidor financiero, esta medición ofrece una guía de fácil comprensión para distinguir entre los oferentes más confiables del mercado</w:t>
      </w:r>
      <w:r w:rsidR="00730D2A">
        <w:rPr>
          <w:sz w:val="24"/>
          <w:szCs w:val="24"/>
        </w:rPr>
        <w:t xml:space="preserve"> y</w:t>
      </w:r>
      <w:r>
        <w:rPr>
          <w:sz w:val="24"/>
          <w:szCs w:val="24"/>
        </w:rPr>
        <w:t xml:space="preserve">, </w:t>
      </w:r>
      <w:r w:rsidR="00730D2A">
        <w:rPr>
          <w:sz w:val="24"/>
          <w:szCs w:val="24"/>
        </w:rPr>
        <w:t xml:space="preserve">por esa vía, permite optar por las mejores alternativas para </w:t>
      </w:r>
      <w:r w:rsidR="00743ABF">
        <w:rPr>
          <w:sz w:val="24"/>
          <w:szCs w:val="24"/>
        </w:rPr>
        <w:t>una relación que, por la naturaleza de sus contratos, se extiende en el tiempo.</w:t>
      </w:r>
    </w:p>
    <w:p w:rsidR="002707CC" w:rsidRPr="007953B1" w:rsidRDefault="00730D2A" w:rsidP="00A624E0">
      <w:pPr>
        <w:jc w:val="both"/>
        <w:rPr>
          <w:sz w:val="24"/>
          <w:szCs w:val="24"/>
        </w:rPr>
      </w:pPr>
      <w:r>
        <w:rPr>
          <w:sz w:val="24"/>
          <w:szCs w:val="24"/>
        </w:rPr>
        <w:t>E</w:t>
      </w:r>
      <w:r w:rsidR="00C6222D">
        <w:rPr>
          <w:sz w:val="24"/>
          <w:szCs w:val="24"/>
        </w:rPr>
        <w:t>ste primer ejercic</w:t>
      </w:r>
      <w:r>
        <w:rPr>
          <w:sz w:val="24"/>
          <w:szCs w:val="24"/>
        </w:rPr>
        <w:t>i</w:t>
      </w:r>
      <w:r w:rsidR="00C6222D">
        <w:rPr>
          <w:sz w:val="24"/>
          <w:szCs w:val="24"/>
        </w:rPr>
        <w:t>o</w:t>
      </w:r>
      <w:r>
        <w:rPr>
          <w:sz w:val="24"/>
          <w:szCs w:val="24"/>
        </w:rPr>
        <w:t xml:space="preserve"> debe replicarse en el tiempo con mediciones periódicas para evaluar en el tiempo el desempeño de los oferentes de servicios financieros minoristas.</w:t>
      </w:r>
    </w:p>
    <w:sectPr w:rsidR="002707CC" w:rsidRPr="007953B1" w:rsidSect="00E873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CC"/>
    <w:rsid w:val="00014E30"/>
    <w:rsid w:val="00034082"/>
    <w:rsid w:val="0005438A"/>
    <w:rsid w:val="000807B3"/>
    <w:rsid w:val="000C2290"/>
    <w:rsid w:val="000D3344"/>
    <w:rsid w:val="000D782C"/>
    <w:rsid w:val="000F689E"/>
    <w:rsid w:val="001367E1"/>
    <w:rsid w:val="001651A0"/>
    <w:rsid w:val="002412BA"/>
    <w:rsid w:val="00262ED0"/>
    <w:rsid w:val="002707CC"/>
    <w:rsid w:val="002C10CE"/>
    <w:rsid w:val="00302787"/>
    <w:rsid w:val="003C6EF3"/>
    <w:rsid w:val="00453165"/>
    <w:rsid w:val="00590F09"/>
    <w:rsid w:val="005E58DF"/>
    <w:rsid w:val="006108F6"/>
    <w:rsid w:val="006510C8"/>
    <w:rsid w:val="006836A1"/>
    <w:rsid w:val="006959B5"/>
    <w:rsid w:val="006F49C3"/>
    <w:rsid w:val="00723361"/>
    <w:rsid w:val="00730D2A"/>
    <w:rsid w:val="00743ABF"/>
    <w:rsid w:val="007953B1"/>
    <w:rsid w:val="007B2EB7"/>
    <w:rsid w:val="00812E5C"/>
    <w:rsid w:val="00A624E0"/>
    <w:rsid w:val="00A90C99"/>
    <w:rsid w:val="00B81C1E"/>
    <w:rsid w:val="00BD59CC"/>
    <w:rsid w:val="00C6222D"/>
    <w:rsid w:val="00C647ED"/>
    <w:rsid w:val="00C9499C"/>
    <w:rsid w:val="00D7406B"/>
    <w:rsid w:val="00E312F5"/>
    <w:rsid w:val="00E56157"/>
    <w:rsid w:val="00E87332"/>
    <w:rsid w:val="00E935A4"/>
    <w:rsid w:val="00FE33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334D8-EA23-4A06-AE15-98C1A22D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pacing w:val="20"/>
        <w:sz w:val="22"/>
        <w:szCs w:val="22"/>
        <w:lang w:val="es-CL" w:eastAsia="en-US" w:bidi="ar-SA"/>
      </w:rPr>
    </w:rPrDefault>
    <w:pPrDefault>
      <w:pPr>
        <w:spacing w:before="240" w:after="240" w:line="276" w:lineRule="auto"/>
        <w:ind w:left="11" w:hanging="1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3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07CC"/>
    <w:rPr>
      <w:color w:val="0000FF" w:themeColor="hyperlink"/>
      <w:u w:val="single"/>
    </w:rPr>
  </w:style>
  <w:style w:type="paragraph" w:styleId="Textodeglobo">
    <w:name w:val="Balloon Text"/>
    <w:basedOn w:val="Normal"/>
    <w:link w:val="TextodegloboCar"/>
    <w:uiPriority w:val="99"/>
    <w:semiHidden/>
    <w:unhideWhenUsed/>
    <w:rsid w:val="005E58DF"/>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1440</Words>
  <Characters>7921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Piita</cp:lastModifiedBy>
  <cp:revision>2</cp:revision>
  <dcterms:created xsi:type="dcterms:W3CDTF">2017-05-24T22:29:00Z</dcterms:created>
  <dcterms:modified xsi:type="dcterms:W3CDTF">2017-05-24T22:29:00Z</dcterms:modified>
</cp:coreProperties>
</file>